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6F5380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январь-апрель</w:t>
      </w:r>
      <w:r w:rsidR="002B2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</w:t>
      </w:r>
      <w:r w:rsidR="008C7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63B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15D81" w:rsidRPr="00785C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063BA">
        <w:rPr>
          <w:rFonts w:ascii="Times New Roman" w:eastAsia="Times New Roman" w:hAnsi="Times New Roman" w:cs="Times New Roman"/>
          <w:sz w:val="26"/>
          <w:szCs w:val="26"/>
          <w:lang w:eastAsia="ru-RU"/>
        </w:rPr>
        <w:t>526</w:t>
      </w:r>
      <w:r w:rsidR="00715D81" w:rsidRPr="00785C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063B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6F53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январь-апрель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сопоставимых ценах 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</w:t>
      </w:r>
      <w:r w:rsidR="00715D81" w:rsidRPr="00785C9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FA4836" w:rsidRPr="00C063B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15D81" w:rsidRPr="00785C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063B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-211661</wp:posOffset>
            </wp:positionH>
            <wp:positionV relativeFrom="paragraph">
              <wp:posOffset>159863</wp:posOffset>
            </wp:positionV>
            <wp:extent cx="5996940" cy="2101933"/>
            <wp:effectExtent l="0" t="0" r="381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A7395C" w:rsidRPr="00F32CF1">
        <w:rPr>
          <w:rFonts w:ascii="Arial" w:hAnsi="Arial" w:cs="Arial"/>
          <w:b/>
        </w:rPr>
        <w:t>продукта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9A6BF3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605671" w:rsidRPr="00605671" w:rsidRDefault="00194843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E23BA4" wp14:editId="6E16F85D">
                <wp:simplePos x="0" y="0"/>
                <wp:positionH relativeFrom="column">
                  <wp:posOffset>3978877</wp:posOffset>
                </wp:positionH>
                <wp:positionV relativeFrom="paragraph">
                  <wp:posOffset>55880</wp:posOffset>
                </wp:positionV>
                <wp:extent cx="1367481" cy="378460"/>
                <wp:effectExtent l="0" t="0" r="0" b="254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481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DC9" w:rsidRPr="00134D30" w:rsidRDefault="0037350D" w:rsidP="00605671">
                            <w:pPr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="00FA4836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033DC9"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 w:rsidR="00033DC9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E53B54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="00033DC9"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23BA4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3.3pt;margin-top:4.4pt;width:107.7pt;height:29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" filled="f" stroked="f">
                <v:textbox>
                  <w:txbxContent>
                    <w:p w:rsidR="00033DC9" w:rsidRPr="00134D30" w:rsidRDefault="0037350D" w:rsidP="00605671">
                      <w:pPr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                   </w:t>
                      </w:r>
                      <w:r w:rsidR="00FA4836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   </w:t>
                      </w:r>
                      <w:r w:rsidR="00033DC9"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 w:rsidR="00033DC9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E53B54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4</w:t>
                      </w:r>
                      <w:r w:rsidR="00033DC9"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34E81" wp14:editId="0A578023">
                <wp:simplePos x="0" y="0"/>
                <wp:positionH relativeFrom="column">
                  <wp:posOffset>973669</wp:posOffset>
                </wp:positionH>
                <wp:positionV relativeFrom="paragraph">
                  <wp:posOffset>45275</wp:posOffset>
                </wp:positionV>
                <wp:extent cx="1733989" cy="242570"/>
                <wp:effectExtent l="0" t="0" r="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989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DC9" w:rsidRPr="009F5658" w:rsidRDefault="0037350D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</w:t>
                            </w:r>
                            <w:r w:rsidR="00033DC9"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 w:rsidR="00033DC9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E53B54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="00033DC9"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34E81" id="Поле 9" o:spid="_x0000_s1027" type="#_x0000_t202" style="position:absolute;left:0;text-align:left;margin-left:76.65pt;margin-top:3.55pt;width:136.55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4DxgIAAMA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" filled="f" stroked="f">
                <v:textbox>
                  <w:txbxContent>
                    <w:p w:rsidR="00033DC9" w:rsidRPr="009F5658" w:rsidRDefault="0037350D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</w:t>
                      </w:r>
                      <w:r w:rsidR="00033DC9"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 w:rsidR="00033DC9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E53B54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>3</w:t>
                      </w:r>
                      <w:r w:rsidR="00033DC9"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A7395C" w:rsidRDefault="00A7395C" w:rsidP="00A7395C">
      <w:pPr>
        <w:pStyle w:val="ad"/>
        <w:spacing w:after="0" w:line="240" w:lineRule="exact"/>
        <w:jc w:val="both"/>
        <w:rPr>
          <w:sz w:val="20"/>
          <w:vertAlign w:val="superscript"/>
        </w:rPr>
      </w:pPr>
    </w:p>
    <w:p w:rsidR="00BD62A2" w:rsidRPr="00FB7764" w:rsidRDefault="00BD62A2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9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79"/>
        <w:gridCol w:w="1480"/>
        <w:gridCol w:w="1480"/>
      </w:tblGrid>
      <w:tr w:rsidR="002E264A" w:rsidRPr="00BD62A2" w:rsidTr="009B33F8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6F5380" w:rsidP="006F5380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F5380">
              <w:rPr>
                <w:rFonts w:ascii="Times New Roman" w:eastAsia="Times New Roman" w:hAnsi="Times New Roman" w:cs="Times New Roman"/>
                <w:lang w:eastAsia="ru-RU"/>
              </w:rPr>
              <w:t>нварь-апрель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B18D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  <w:r w:rsidR="00043E14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94843" w:rsidRPr="00BD62A2" w:rsidTr="00062DC4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843" w:rsidRPr="00BD62A2" w:rsidRDefault="00194843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43" w:rsidRPr="007E4DBC" w:rsidRDefault="00194843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4843" w:rsidRPr="00BD62A2" w:rsidRDefault="00194843" w:rsidP="006F5380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F5380">
              <w:rPr>
                <w:rFonts w:ascii="Times New Roman" w:eastAsia="Times New Roman" w:hAnsi="Times New Roman" w:cs="Times New Roman"/>
                <w:lang w:eastAsia="ru-RU"/>
              </w:rPr>
              <w:t>январ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6F5380">
              <w:rPr>
                <w:rFonts w:ascii="Times New Roman" w:eastAsia="Times New Roman" w:hAnsi="Times New Roman" w:cs="Times New Roman"/>
                <w:lang w:eastAsia="ru-RU"/>
              </w:rPr>
              <w:t>-апрел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(в 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194843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194843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715D81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526</w:t>
            </w:r>
            <w:r w:rsidR="00715D81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C063B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C063BA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C063BA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BD62A2" w:rsidRPr="00BD62A2" w:rsidTr="0019484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194843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214"/>
              </w:tabs>
              <w:spacing w:before="6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4 840,5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C063B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C063BA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C063BA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106,2</w:t>
            </w:r>
          </w:p>
        </w:tc>
      </w:tr>
      <w:tr w:rsidR="00BD62A2" w:rsidRPr="00BD62A2" w:rsidTr="0019484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194843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715D81" w:rsidRDefault="00C063BA" w:rsidP="000508B6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E27A8" w:rsidRDefault="00715D81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</w:t>
            </w:r>
            <w:r w:rsidR="00050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063BA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108,6</w:t>
            </w:r>
          </w:p>
        </w:tc>
      </w:tr>
      <w:tr w:rsidR="00BD62A2" w:rsidRPr="00BD62A2" w:rsidTr="00194843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C063BA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050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063BA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85,1</w:t>
            </w:r>
          </w:p>
        </w:tc>
      </w:tr>
      <w:tr w:rsidR="00BD62A2" w:rsidRPr="00BD62A2" w:rsidTr="0019484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0508B6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 w:rsidR="00C06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06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C063B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</w:t>
            </w:r>
            <w:r w:rsidR="00C06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063BA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111,7</w:t>
            </w:r>
          </w:p>
        </w:tc>
      </w:tr>
      <w:tr w:rsidR="00BD62A2" w:rsidRPr="00BD62A2" w:rsidTr="0019484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  <w:r w:rsidR="00050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063BA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93,7</w:t>
            </w:r>
          </w:p>
        </w:tc>
      </w:tr>
      <w:tr w:rsidR="00BD62A2" w:rsidRPr="00BD62A2" w:rsidTr="0019484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  <w:r w:rsidR="00050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C063B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C06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063BA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</w:tr>
      <w:tr w:rsidR="00BD62A2" w:rsidRPr="00BD62A2" w:rsidTr="00194843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0508B6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06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06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0508B6" w:rsidP="00C063B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715D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06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063BA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127,0</w:t>
            </w:r>
          </w:p>
        </w:tc>
      </w:tr>
      <w:tr w:rsidR="00BD62A2" w:rsidRPr="00BD62A2" w:rsidTr="00194843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C063BA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  <w:r w:rsidR="000508B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0508B6" w:rsidP="00E91562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C063BA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AF3323" w:rsidRDefault="00C063BA" w:rsidP="000508B6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111,8</w:t>
            </w:r>
          </w:p>
        </w:tc>
      </w:tr>
      <w:tr w:rsidR="00BD62A2" w:rsidRPr="00BD62A2" w:rsidTr="00194843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  <w:r w:rsidR="00050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E91562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063BA" w:rsidP="000508B6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</w:t>
            </w:r>
          </w:p>
        </w:tc>
      </w:tr>
      <w:tr w:rsidR="00BD62A2" w:rsidRPr="00BD62A2" w:rsidTr="00194843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0508B6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</w:t>
            </w:r>
            <w:r w:rsidR="00050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063BA" w:rsidP="000508B6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</w:t>
            </w:r>
          </w:p>
        </w:tc>
      </w:tr>
      <w:tr w:rsidR="00BD62A2" w:rsidRPr="00BD62A2" w:rsidTr="00194843">
        <w:trPr>
          <w:trHeight w:val="169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F3323">
            <w:pPr>
              <w:spacing w:before="36" w:after="4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C063BA" w:rsidP="001373A8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686,0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C063BA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C063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</w:t>
            </w:r>
            <w:r w:rsidR="00C063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063BA" w:rsidP="00A61533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106,2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6F5380" w:rsidRPr="006F5380">
        <w:rPr>
          <w:rFonts w:ascii="Arial" w:eastAsia="Times New Roman" w:hAnsi="Arial" w:cs="Arial"/>
          <w:b/>
          <w:lang w:eastAsia="ru-RU"/>
        </w:rPr>
        <w:t>январе-апреле</w:t>
      </w:r>
      <w:r w:rsidR="006F53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1943C3">
        <w:rPr>
          <w:rFonts w:ascii="Arial" w:eastAsia="Times New Roman" w:hAnsi="Arial" w:cs="Arial"/>
          <w:b/>
          <w:lang w:eastAsia="ru-RU"/>
        </w:rPr>
        <w:t>4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1943C3">
        <w:rPr>
          <w:rFonts w:ascii="Arial" w:eastAsia="Times New Roman" w:hAnsi="Arial" w:cs="Arial"/>
          <w:b/>
          <w:lang w:eastAsia="ru-RU"/>
        </w:rPr>
        <w:t>.</w:t>
      </w:r>
    </w:p>
    <w:p w:rsidR="00A64A29" w:rsidRDefault="0025347E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DC9" w:rsidRDefault="00033DC9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033DC9" w:rsidRDefault="00033DC9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2C0811" w:rsidRDefault="002C0811" w:rsidP="002C0811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9984" behindDoc="0" locked="0" layoutInCell="1" allowOverlap="1" wp14:anchorId="11F20A61" wp14:editId="0D84E191">
            <wp:simplePos x="0" y="0"/>
            <wp:positionH relativeFrom="column">
              <wp:posOffset>-164160</wp:posOffset>
            </wp:positionH>
            <wp:positionV relativeFrom="paragraph">
              <wp:posOffset>77964</wp:posOffset>
            </wp:positionV>
            <wp:extent cx="6625590" cy="3538847"/>
            <wp:effectExtent l="0" t="0" r="3810" b="508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F03CE5" w:rsidRDefault="00F03CE5" w:rsidP="00885303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533D28">
      <w:pPr>
        <w:spacing w:before="60" w:after="60" w:line="24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4843" w:rsidRDefault="00194843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4843" w:rsidRDefault="00194843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4843" w:rsidRPr="00194843" w:rsidRDefault="00194843" w:rsidP="00194843">
      <w:pPr>
        <w:spacing w:after="0" w:line="360" w:lineRule="auto"/>
        <w:jc w:val="center"/>
        <w:rPr>
          <w:rFonts w:ascii="Arial" w:eastAsia="Times New Roman" w:hAnsi="Arial" w:cs="Arial"/>
          <w:lang w:eastAsia="ru-RU"/>
        </w:rPr>
      </w:pPr>
    </w:p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E91562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6F5380">
        <w:rPr>
          <w:rFonts w:ascii="Times New Roman" w:eastAsia="Times New Roman" w:hAnsi="Times New Roman" w:cs="Times New Roman"/>
          <w:sz w:val="26"/>
          <w:szCs w:val="20"/>
          <w:lang w:val="en-US" w:eastAsia="ru-RU"/>
        </w:rPr>
        <w:t>I</w:t>
      </w:r>
      <w:r w:rsidR="006F5380" w:rsidRPr="006F538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6F5380">
        <w:rPr>
          <w:rFonts w:ascii="Times New Roman" w:eastAsia="Times New Roman" w:hAnsi="Times New Roman" w:cs="Times New Roman"/>
          <w:sz w:val="26"/>
          <w:szCs w:val="20"/>
          <w:lang w:eastAsia="ru-RU"/>
        </w:rPr>
        <w:t>квартале</w:t>
      </w:r>
      <w:r w:rsidR="00FD45C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24 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4843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7441A4">
        <w:rPr>
          <w:rFonts w:ascii="Times New Roman" w:eastAsia="Times New Roman" w:hAnsi="Times New Roman" w:cs="Times New Roman"/>
          <w:sz w:val="26"/>
          <w:szCs w:val="20"/>
          <w:lang w:eastAsia="ru-RU"/>
        </w:rPr>
        <w:t>7</w:t>
      </w:r>
      <w:r w:rsidR="009555D1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7441A4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6F5380">
        <w:rPr>
          <w:rFonts w:ascii="Times New Roman" w:eastAsia="Times New Roman" w:hAnsi="Times New Roman" w:cs="Times New Roman"/>
          <w:sz w:val="26"/>
          <w:szCs w:val="20"/>
          <w:lang w:val="en-US" w:eastAsia="ru-RU"/>
        </w:rPr>
        <w:t>I</w:t>
      </w:r>
      <w:r w:rsidR="006F5380" w:rsidRPr="006F538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6F538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квартала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1341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01648B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темп 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7441A4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6F5380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A078D7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C36F5B" w:rsidRDefault="00C36F5B" w:rsidP="00C36F5B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-271038</wp:posOffset>
            </wp:positionH>
            <wp:positionV relativeFrom="paragraph">
              <wp:posOffset>287515</wp:posOffset>
            </wp:positionV>
            <wp:extent cx="6210358" cy="271208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C36F5B" w:rsidRDefault="00C36F5B" w:rsidP="00C36F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Pr="00194843" w:rsidRDefault="00191865" w:rsidP="00194843">
      <w:pPr>
        <w:pStyle w:val="ad"/>
        <w:spacing w:after="0" w:line="100" w:lineRule="exact"/>
        <w:jc w:val="both"/>
        <w:rPr>
          <w:sz w:val="2"/>
          <w:szCs w:val="2"/>
        </w:rPr>
      </w:pPr>
    </w:p>
    <w:sectPr w:rsidR="00191865" w:rsidRPr="00194843" w:rsidSect="001311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A94" w:rsidRDefault="00E84A94">
      <w:pPr>
        <w:spacing w:after="0" w:line="240" w:lineRule="auto"/>
      </w:pPr>
      <w:r>
        <w:separator/>
      </w:r>
    </w:p>
  </w:endnote>
  <w:endnote w:type="continuationSeparator" w:id="0">
    <w:p w:rsidR="00E84A94" w:rsidRDefault="00E84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Default="00033DC9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033DC9" w:rsidRDefault="00033DC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Pr="00AE7549" w:rsidRDefault="00033DC9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131181">
      <w:rPr>
        <w:rStyle w:val="a7"/>
        <w:rFonts w:ascii="Times New Roman" w:hAnsi="Times New Roman" w:cs="Times New Roman"/>
        <w:noProof/>
        <w:sz w:val="20"/>
        <w:szCs w:val="20"/>
      </w:rPr>
      <w:t>11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033DC9" w:rsidRPr="00F1170C" w:rsidRDefault="00033DC9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A94" w:rsidRDefault="00E84A94">
      <w:pPr>
        <w:spacing w:after="0" w:line="240" w:lineRule="auto"/>
      </w:pPr>
      <w:r>
        <w:separator/>
      </w:r>
    </w:p>
  </w:footnote>
  <w:footnote w:type="continuationSeparator" w:id="0">
    <w:p w:rsidR="00E84A94" w:rsidRDefault="00E84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Default="00033DC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033DC9" w:rsidRDefault="00033D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Pr="0080504E" w:rsidRDefault="00033DC9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Default="00033DC9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3DB9"/>
    <w:rsid w:val="0000531E"/>
    <w:rsid w:val="0001112E"/>
    <w:rsid w:val="00014204"/>
    <w:rsid w:val="0001622D"/>
    <w:rsid w:val="0001648B"/>
    <w:rsid w:val="0002017D"/>
    <w:rsid w:val="0002082A"/>
    <w:rsid w:val="00020F1B"/>
    <w:rsid w:val="00020FEF"/>
    <w:rsid w:val="00026795"/>
    <w:rsid w:val="00027B62"/>
    <w:rsid w:val="00032E3B"/>
    <w:rsid w:val="00033DC9"/>
    <w:rsid w:val="00036F87"/>
    <w:rsid w:val="00037D06"/>
    <w:rsid w:val="00040996"/>
    <w:rsid w:val="00043E14"/>
    <w:rsid w:val="00047AC3"/>
    <w:rsid w:val="00047C70"/>
    <w:rsid w:val="000508B6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82237"/>
    <w:rsid w:val="00085F4B"/>
    <w:rsid w:val="00086022"/>
    <w:rsid w:val="00086B5B"/>
    <w:rsid w:val="0009434B"/>
    <w:rsid w:val="000943AC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D339E"/>
    <w:rsid w:val="000D4A52"/>
    <w:rsid w:val="000D7378"/>
    <w:rsid w:val="000D7747"/>
    <w:rsid w:val="000E2AF9"/>
    <w:rsid w:val="000E336A"/>
    <w:rsid w:val="000E6812"/>
    <w:rsid w:val="000F00B6"/>
    <w:rsid w:val="000F280C"/>
    <w:rsid w:val="000F35B8"/>
    <w:rsid w:val="000F5EC2"/>
    <w:rsid w:val="000F6059"/>
    <w:rsid w:val="00100989"/>
    <w:rsid w:val="00103B27"/>
    <w:rsid w:val="00104117"/>
    <w:rsid w:val="001125B9"/>
    <w:rsid w:val="00116275"/>
    <w:rsid w:val="0012025D"/>
    <w:rsid w:val="001227F7"/>
    <w:rsid w:val="001240C8"/>
    <w:rsid w:val="001246F3"/>
    <w:rsid w:val="00125091"/>
    <w:rsid w:val="00126730"/>
    <w:rsid w:val="00131181"/>
    <w:rsid w:val="00132A30"/>
    <w:rsid w:val="00133F37"/>
    <w:rsid w:val="00134078"/>
    <w:rsid w:val="00134D30"/>
    <w:rsid w:val="001366C7"/>
    <w:rsid w:val="00136D9D"/>
    <w:rsid w:val="00136DF0"/>
    <w:rsid w:val="001373A8"/>
    <w:rsid w:val="00137555"/>
    <w:rsid w:val="00141F31"/>
    <w:rsid w:val="00142C3B"/>
    <w:rsid w:val="00143377"/>
    <w:rsid w:val="00151F43"/>
    <w:rsid w:val="00151F47"/>
    <w:rsid w:val="001521B5"/>
    <w:rsid w:val="001555FF"/>
    <w:rsid w:val="0015653F"/>
    <w:rsid w:val="001617B0"/>
    <w:rsid w:val="00163A08"/>
    <w:rsid w:val="00164BE0"/>
    <w:rsid w:val="00165958"/>
    <w:rsid w:val="001659F4"/>
    <w:rsid w:val="00170635"/>
    <w:rsid w:val="00174B83"/>
    <w:rsid w:val="00174B9E"/>
    <w:rsid w:val="0017585D"/>
    <w:rsid w:val="001759DA"/>
    <w:rsid w:val="00175D17"/>
    <w:rsid w:val="00175E52"/>
    <w:rsid w:val="00177232"/>
    <w:rsid w:val="00177B25"/>
    <w:rsid w:val="00182768"/>
    <w:rsid w:val="00182E8D"/>
    <w:rsid w:val="001831D8"/>
    <w:rsid w:val="0019084B"/>
    <w:rsid w:val="00190DFF"/>
    <w:rsid w:val="00191865"/>
    <w:rsid w:val="00194002"/>
    <w:rsid w:val="001943C3"/>
    <w:rsid w:val="00194843"/>
    <w:rsid w:val="00195068"/>
    <w:rsid w:val="001972C5"/>
    <w:rsid w:val="00197977"/>
    <w:rsid w:val="001A069B"/>
    <w:rsid w:val="001A1609"/>
    <w:rsid w:val="001A351B"/>
    <w:rsid w:val="001A401B"/>
    <w:rsid w:val="001A6ACD"/>
    <w:rsid w:val="001A7329"/>
    <w:rsid w:val="001A7FDF"/>
    <w:rsid w:val="001B0736"/>
    <w:rsid w:val="001B7C94"/>
    <w:rsid w:val="001C0016"/>
    <w:rsid w:val="001C2CAC"/>
    <w:rsid w:val="001C3322"/>
    <w:rsid w:val="001C6947"/>
    <w:rsid w:val="001C6D8E"/>
    <w:rsid w:val="001C73ED"/>
    <w:rsid w:val="001D4766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328"/>
    <w:rsid w:val="00236D4C"/>
    <w:rsid w:val="00236F37"/>
    <w:rsid w:val="00240A79"/>
    <w:rsid w:val="00241982"/>
    <w:rsid w:val="002422B4"/>
    <w:rsid w:val="00243E9A"/>
    <w:rsid w:val="002441B9"/>
    <w:rsid w:val="002442FD"/>
    <w:rsid w:val="00244948"/>
    <w:rsid w:val="00245FE5"/>
    <w:rsid w:val="002463AE"/>
    <w:rsid w:val="00247BD8"/>
    <w:rsid w:val="00247D93"/>
    <w:rsid w:val="00250BBC"/>
    <w:rsid w:val="00250FC1"/>
    <w:rsid w:val="0025347E"/>
    <w:rsid w:val="0025406F"/>
    <w:rsid w:val="00257BDA"/>
    <w:rsid w:val="00267797"/>
    <w:rsid w:val="00267F98"/>
    <w:rsid w:val="00275B62"/>
    <w:rsid w:val="00275B79"/>
    <w:rsid w:val="00280D8A"/>
    <w:rsid w:val="0028182E"/>
    <w:rsid w:val="002900DE"/>
    <w:rsid w:val="00290FED"/>
    <w:rsid w:val="00293989"/>
    <w:rsid w:val="002959EE"/>
    <w:rsid w:val="0029637E"/>
    <w:rsid w:val="00296C1D"/>
    <w:rsid w:val="002A001B"/>
    <w:rsid w:val="002A386F"/>
    <w:rsid w:val="002A7307"/>
    <w:rsid w:val="002B001A"/>
    <w:rsid w:val="002B1EA5"/>
    <w:rsid w:val="002B215F"/>
    <w:rsid w:val="002B42B1"/>
    <w:rsid w:val="002B549A"/>
    <w:rsid w:val="002B6185"/>
    <w:rsid w:val="002C0811"/>
    <w:rsid w:val="002C09D5"/>
    <w:rsid w:val="002C1AF5"/>
    <w:rsid w:val="002C2305"/>
    <w:rsid w:val="002C2496"/>
    <w:rsid w:val="002C2DE0"/>
    <w:rsid w:val="002D01C4"/>
    <w:rsid w:val="002D4BBD"/>
    <w:rsid w:val="002D5111"/>
    <w:rsid w:val="002D5589"/>
    <w:rsid w:val="002D58C9"/>
    <w:rsid w:val="002D7EB0"/>
    <w:rsid w:val="002E1487"/>
    <w:rsid w:val="002E264A"/>
    <w:rsid w:val="002F2ACD"/>
    <w:rsid w:val="002F3E94"/>
    <w:rsid w:val="002F55C6"/>
    <w:rsid w:val="00300B83"/>
    <w:rsid w:val="00302FFD"/>
    <w:rsid w:val="003043A9"/>
    <w:rsid w:val="00306622"/>
    <w:rsid w:val="00306935"/>
    <w:rsid w:val="00311C10"/>
    <w:rsid w:val="0031225A"/>
    <w:rsid w:val="0031314F"/>
    <w:rsid w:val="00314316"/>
    <w:rsid w:val="00314DCC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28E8"/>
    <w:rsid w:val="00352C27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3389"/>
    <w:rsid w:val="0037350D"/>
    <w:rsid w:val="00374421"/>
    <w:rsid w:val="00374C51"/>
    <w:rsid w:val="00374C80"/>
    <w:rsid w:val="00375C08"/>
    <w:rsid w:val="003800CC"/>
    <w:rsid w:val="00382CD5"/>
    <w:rsid w:val="003855B6"/>
    <w:rsid w:val="00386B81"/>
    <w:rsid w:val="00390E6F"/>
    <w:rsid w:val="00391A19"/>
    <w:rsid w:val="003926AA"/>
    <w:rsid w:val="00392B9B"/>
    <w:rsid w:val="003A3825"/>
    <w:rsid w:val="003A4108"/>
    <w:rsid w:val="003A6BC0"/>
    <w:rsid w:val="003A6C31"/>
    <w:rsid w:val="003B027E"/>
    <w:rsid w:val="003B04C9"/>
    <w:rsid w:val="003B27BA"/>
    <w:rsid w:val="003B2A15"/>
    <w:rsid w:val="003B2B48"/>
    <w:rsid w:val="003B45FD"/>
    <w:rsid w:val="003B6CF6"/>
    <w:rsid w:val="003B6E67"/>
    <w:rsid w:val="003B7121"/>
    <w:rsid w:val="003C1829"/>
    <w:rsid w:val="003C1C1A"/>
    <w:rsid w:val="003C20D4"/>
    <w:rsid w:val="003C5105"/>
    <w:rsid w:val="003C5606"/>
    <w:rsid w:val="003C563D"/>
    <w:rsid w:val="003C7C67"/>
    <w:rsid w:val="003D1BCA"/>
    <w:rsid w:val="003D2BD4"/>
    <w:rsid w:val="003D3108"/>
    <w:rsid w:val="003D3A1E"/>
    <w:rsid w:val="003D50A3"/>
    <w:rsid w:val="003D5987"/>
    <w:rsid w:val="003D5BAA"/>
    <w:rsid w:val="003E1E87"/>
    <w:rsid w:val="003E2800"/>
    <w:rsid w:val="003E4278"/>
    <w:rsid w:val="003E77B0"/>
    <w:rsid w:val="003F1114"/>
    <w:rsid w:val="003F17EC"/>
    <w:rsid w:val="003F2BD7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9A8"/>
    <w:rsid w:val="00414BF9"/>
    <w:rsid w:val="004166ED"/>
    <w:rsid w:val="004177C0"/>
    <w:rsid w:val="00420482"/>
    <w:rsid w:val="00420F0D"/>
    <w:rsid w:val="004212D9"/>
    <w:rsid w:val="00422A9D"/>
    <w:rsid w:val="00423620"/>
    <w:rsid w:val="0042468D"/>
    <w:rsid w:val="0042597E"/>
    <w:rsid w:val="00425E84"/>
    <w:rsid w:val="00427A8E"/>
    <w:rsid w:val="00430FA8"/>
    <w:rsid w:val="0043277B"/>
    <w:rsid w:val="00434763"/>
    <w:rsid w:val="00434BD4"/>
    <w:rsid w:val="00440097"/>
    <w:rsid w:val="00446FB3"/>
    <w:rsid w:val="00447152"/>
    <w:rsid w:val="00447FA4"/>
    <w:rsid w:val="00450F9E"/>
    <w:rsid w:val="00451C76"/>
    <w:rsid w:val="00454C66"/>
    <w:rsid w:val="00456C16"/>
    <w:rsid w:val="0046095C"/>
    <w:rsid w:val="00462C80"/>
    <w:rsid w:val="00463E74"/>
    <w:rsid w:val="004643A3"/>
    <w:rsid w:val="00467086"/>
    <w:rsid w:val="00470203"/>
    <w:rsid w:val="00470B45"/>
    <w:rsid w:val="004717C1"/>
    <w:rsid w:val="00472DE3"/>
    <w:rsid w:val="004732D2"/>
    <w:rsid w:val="00474906"/>
    <w:rsid w:val="00474BF6"/>
    <w:rsid w:val="00482490"/>
    <w:rsid w:val="00485E2F"/>
    <w:rsid w:val="00486C69"/>
    <w:rsid w:val="00494668"/>
    <w:rsid w:val="00496556"/>
    <w:rsid w:val="004968E6"/>
    <w:rsid w:val="00497008"/>
    <w:rsid w:val="004A1B79"/>
    <w:rsid w:val="004B0D0B"/>
    <w:rsid w:val="004B1412"/>
    <w:rsid w:val="004B1772"/>
    <w:rsid w:val="004B40C2"/>
    <w:rsid w:val="004B5C06"/>
    <w:rsid w:val="004B64F8"/>
    <w:rsid w:val="004C4491"/>
    <w:rsid w:val="004D20BA"/>
    <w:rsid w:val="004D74CE"/>
    <w:rsid w:val="004E16FA"/>
    <w:rsid w:val="004E26BD"/>
    <w:rsid w:val="004F087D"/>
    <w:rsid w:val="004F0A28"/>
    <w:rsid w:val="004F3F81"/>
    <w:rsid w:val="004F56C8"/>
    <w:rsid w:val="004F748B"/>
    <w:rsid w:val="005006AB"/>
    <w:rsid w:val="005007F1"/>
    <w:rsid w:val="005014F4"/>
    <w:rsid w:val="0050391E"/>
    <w:rsid w:val="00505733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39D5"/>
    <w:rsid w:val="0052546A"/>
    <w:rsid w:val="00527668"/>
    <w:rsid w:val="00527ECE"/>
    <w:rsid w:val="00533072"/>
    <w:rsid w:val="00533D28"/>
    <w:rsid w:val="00536221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2AB8"/>
    <w:rsid w:val="0056412A"/>
    <w:rsid w:val="00564400"/>
    <w:rsid w:val="00564A19"/>
    <w:rsid w:val="00564B51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45BD"/>
    <w:rsid w:val="00594ECB"/>
    <w:rsid w:val="005972F5"/>
    <w:rsid w:val="005A12E0"/>
    <w:rsid w:val="005A13B9"/>
    <w:rsid w:val="005A13E8"/>
    <w:rsid w:val="005A1756"/>
    <w:rsid w:val="005A2851"/>
    <w:rsid w:val="005A759A"/>
    <w:rsid w:val="005B17B7"/>
    <w:rsid w:val="005B18D5"/>
    <w:rsid w:val="005B2141"/>
    <w:rsid w:val="005B2C0E"/>
    <w:rsid w:val="005B5B97"/>
    <w:rsid w:val="005C3764"/>
    <w:rsid w:val="005C7FBB"/>
    <w:rsid w:val="005D0424"/>
    <w:rsid w:val="005D0491"/>
    <w:rsid w:val="005D317D"/>
    <w:rsid w:val="005D559A"/>
    <w:rsid w:val="005E0015"/>
    <w:rsid w:val="005E0D02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11CA"/>
    <w:rsid w:val="00605671"/>
    <w:rsid w:val="00605B0C"/>
    <w:rsid w:val="00605BBC"/>
    <w:rsid w:val="00606786"/>
    <w:rsid w:val="00612376"/>
    <w:rsid w:val="0061699F"/>
    <w:rsid w:val="00622586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415A"/>
    <w:rsid w:val="00645704"/>
    <w:rsid w:val="00650A2F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7824"/>
    <w:rsid w:val="0067070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907BC"/>
    <w:rsid w:val="00692A26"/>
    <w:rsid w:val="00692B3F"/>
    <w:rsid w:val="00692CED"/>
    <w:rsid w:val="0069345F"/>
    <w:rsid w:val="0069415B"/>
    <w:rsid w:val="00695266"/>
    <w:rsid w:val="006A15B4"/>
    <w:rsid w:val="006A5D2F"/>
    <w:rsid w:val="006A6393"/>
    <w:rsid w:val="006B1AF5"/>
    <w:rsid w:val="006B372B"/>
    <w:rsid w:val="006B3F35"/>
    <w:rsid w:val="006B4851"/>
    <w:rsid w:val="006B7EFD"/>
    <w:rsid w:val="006C0118"/>
    <w:rsid w:val="006C4E22"/>
    <w:rsid w:val="006C5054"/>
    <w:rsid w:val="006C508D"/>
    <w:rsid w:val="006C6067"/>
    <w:rsid w:val="006C70BD"/>
    <w:rsid w:val="006D2819"/>
    <w:rsid w:val="006D307B"/>
    <w:rsid w:val="006D3366"/>
    <w:rsid w:val="006D3B25"/>
    <w:rsid w:val="006D5B90"/>
    <w:rsid w:val="006D66C6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5380"/>
    <w:rsid w:val="006F6A87"/>
    <w:rsid w:val="006F79EC"/>
    <w:rsid w:val="00701EFF"/>
    <w:rsid w:val="00706590"/>
    <w:rsid w:val="00706F81"/>
    <w:rsid w:val="00712089"/>
    <w:rsid w:val="00714661"/>
    <w:rsid w:val="00715D81"/>
    <w:rsid w:val="0072039F"/>
    <w:rsid w:val="00721626"/>
    <w:rsid w:val="007216FA"/>
    <w:rsid w:val="0072171E"/>
    <w:rsid w:val="00721DFC"/>
    <w:rsid w:val="00722074"/>
    <w:rsid w:val="00723C42"/>
    <w:rsid w:val="0072485D"/>
    <w:rsid w:val="00727A0F"/>
    <w:rsid w:val="00730423"/>
    <w:rsid w:val="00730B78"/>
    <w:rsid w:val="00731151"/>
    <w:rsid w:val="007313C3"/>
    <w:rsid w:val="007348EB"/>
    <w:rsid w:val="00735755"/>
    <w:rsid w:val="00740D14"/>
    <w:rsid w:val="007441A4"/>
    <w:rsid w:val="0074586D"/>
    <w:rsid w:val="0074695C"/>
    <w:rsid w:val="00747BB5"/>
    <w:rsid w:val="00750B57"/>
    <w:rsid w:val="00750DC6"/>
    <w:rsid w:val="00752D3D"/>
    <w:rsid w:val="0075376F"/>
    <w:rsid w:val="00754E10"/>
    <w:rsid w:val="00763411"/>
    <w:rsid w:val="00764324"/>
    <w:rsid w:val="0076578B"/>
    <w:rsid w:val="00765D05"/>
    <w:rsid w:val="00766317"/>
    <w:rsid w:val="007669F3"/>
    <w:rsid w:val="007710FE"/>
    <w:rsid w:val="007744C5"/>
    <w:rsid w:val="00785C91"/>
    <w:rsid w:val="0079063A"/>
    <w:rsid w:val="00790A8F"/>
    <w:rsid w:val="00790F17"/>
    <w:rsid w:val="00796049"/>
    <w:rsid w:val="0079779E"/>
    <w:rsid w:val="007A1118"/>
    <w:rsid w:val="007A1BB4"/>
    <w:rsid w:val="007A26E3"/>
    <w:rsid w:val="007A34D2"/>
    <w:rsid w:val="007A4A5F"/>
    <w:rsid w:val="007A4B9A"/>
    <w:rsid w:val="007A4ED6"/>
    <w:rsid w:val="007B13F3"/>
    <w:rsid w:val="007B2558"/>
    <w:rsid w:val="007B259F"/>
    <w:rsid w:val="007B4C37"/>
    <w:rsid w:val="007B76A6"/>
    <w:rsid w:val="007B7B7D"/>
    <w:rsid w:val="007C164E"/>
    <w:rsid w:val="007C21FA"/>
    <w:rsid w:val="007C418F"/>
    <w:rsid w:val="007C4591"/>
    <w:rsid w:val="007C5137"/>
    <w:rsid w:val="007C56FD"/>
    <w:rsid w:val="007C63A5"/>
    <w:rsid w:val="007C7D35"/>
    <w:rsid w:val="007E0207"/>
    <w:rsid w:val="007E3535"/>
    <w:rsid w:val="007E4DBC"/>
    <w:rsid w:val="007F07E3"/>
    <w:rsid w:val="007F1232"/>
    <w:rsid w:val="0080487F"/>
    <w:rsid w:val="00807A80"/>
    <w:rsid w:val="008110C8"/>
    <w:rsid w:val="00814E20"/>
    <w:rsid w:val="00816AEF"/>
    <w:rsid w:val="00817449"/>
    <w:rsid w:val="00823430"/>
    <w:rsid w:val="00824877"/>
    <w:rsid w:val="00827CAF"/>
    <w:rsid w:val="00827FCB"/>
    <w:rsid w:val="00831341"/>
    <w:rsid w:val="008316EC"/>
    <w:rsid w:val="00832377"/>
    <w:rsid w:val="00843645"/>
    <w:rsid w:val="008459A3"/>
    <w:rsid w:val="00845E55"/>
    <w:rsid w:val="00846695"/>
    <w:rsid w:val="0084784C"/>
    <w:rsid w:val="0085439E"/>
    <w:rsid w:val="00854FFD"/>
    <w:rsid w:val="008558EB"/>
    <w:rsid w:val="0085715D"/>
    <w:rsid w:val="0085716D"/>
    <w:rsid w:val="00861334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33C4"/>
    <w:rsid w:val="008B3500"/>
    <w:rsid w:val="008B4FE6"/>
    <w:rsid w:val="008B54E7"/>
    <w:rsid w:val="008B769A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C7A61"/>
    <w:rsid w:val="008D3494"/>
    <w:rsid w:val="008D5E83"/>
    <w:rsid w:val="008D6F0E"/>
    <w:rsid w:val="008D7C9F"/>
    <w:rsid w:val="008E025C"/>
    <w:rsid w:val="008E5430"/>
    <w:rsid w:val="008E7E66"/>
    <w:rsid w:val="008F2520"/>
    <w:rsid w:val="008F421F"/>
    <w:rsid w:val="008F4976"/>
    <w:rsid w:val="0090053D"/>
    <w:rsid w:val="00902B35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54DD"/>
    <w:rsid w:val="009470E2"/>
    <w:rsid w:val="00954B7A"/>
    <w:rsid w:val="0095534F"/>
    <w:rsid w:val="0095556C"/>
    <w:rsid w:val="009555D1"/>
    <w:rsid w:val="00956019"/>
    <w:rsid w:val="009611F0"/>
    <w:rsid w:val="00962E04"/>
    <w:rsid w:val="0096324B"/>
    <w:rsid w:val="00963B81"/>
    <w:rsid w:val="009655F8"/>
    <w:rsid w:val="00966400"/>
    <w:rsid w:val="0097169B"/>
    <w:rsid w:val="00975771"/>
    <w:rsid w:val="0098118E"/>
    <w:rsid w:val="00984FCA"/>
    <w:rsid w:val="009863D0"/>
    <w:rsid w:val="00990037"/>
    <w:rsid w:val="009904FF"/>
    <w:rsid w:val="00993F14"/>
    <w:rsid w:val="00996DC2"/>
    <w:rsid w:val="0099763F"/>
    <w:rsid w:val="00997E80"/>
    <w:rsid w:val="009A1AF0"/>
    <w:rsid w:val="009A215B"/>
    <w:rsid w:val="009A4EAF"/>
    <w:rsid w:val="009A6BF3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50A3"/>
    <w:rsid w:val="009C5BE0"/>
    <w:rsid w:val="009C6671"/>
    <w:rsid w:val="009C67B0"/>
    <w:rsid w:val="009D4615"/>
    <w:rsid w:val="009D5085"/>
    <w:rsid w:val="009D5FEA"/>
    <w:rsid w:val="009D6456"/>
    <w:rsid w:val="009D74D9"/>
    <w:rsid w:val="009D7958"/>
    <w:rsid w:val="009E2300"/>
    <w:rsid w:val="009E29A9"/>
    <w:rsid w:val="009E2F31"/>
    <w:rsid w:val="009F0287"/>
    <w:rsid w:val="009F182F"/>
    <w:rsid w:val="009F2AB9"/>
    <w:rsid w:val="009F3BB5"/>
    <w:rsid w:val="00A0095E"/>
    <w:rsid w:val="00A017B0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23CFB"/>
    <w:rsid w:val="00A24AF2"/>
    <w:rsid w:val="00A25BC1"/>
    <w:rsid w:val="00A26FAF"/>
    <w:rsid w:val="00A27612"/>
    <w:rsid w:val="00A32A4D"/>
    <w:rsid w:val="00A341CF"/>
    <w:rsid w:val="00A3785C"/>
    <w:rsid w:val="00A37E51"/>
    <w:rsid w:val="00A42233"/>
    <w:rsid w:val="00A43978"/>
    <w:rsid w:val="00A47C48"/>
    <w:rsid w:val="00A47D1B"/>
    <w:rsid w:val="00A47EA8"/>
    <w:rsid w:val="00A513C1"/>
    <w:rsid w:val="00A53BE7"/>
    <w:rsid w:val="00A55C5B"/>
    <w:rsid w:val="00A55D8A"/>
    <w:rsid w:val="00A57CEA"/>
    <w:rsid w:val="00A57D5A"/>
    <w:rsid w:val="00A61533"/>
    <w:rsid w:val="00A63593"/>
    <w:rsid w:val="00A6369D"/>
    <w:rsid w:val="00A64A29"/>
    <w:rsid w:val="00A678A8"/>
    <w:rsid w:val="00A723A0"/>
    <w:rsid w:val="00A7395C"/>
    <w:rsid w:val="00A80158"/>
    <w:rsid w:val="00A81C79"/>
    <w:rsid w:val="00A81F15"/>
    <w:rsid w:val="00A829D4"/>
    <w:rsid w:val="00A92DDC"/>
    <w:rsid w:val="00A9304A"/>
    <w:rsid w:val="00A95107"/>
    <w:rsid w:val="00A96686"/>
    <w:rsid w:val="00AA0070"/>
    <w:rsid w:val="00AA1F35"/>
    <w:rsid w:val="00AA306A"/>
    <w:rsid w:val="00AA4513"/>
    <w:rsid w:val="00AB41C9"/>
    <w:rsid w:val="00AB4BA5"/>
    <w:rsid w:val="00AB521D"/>
    <w:rsid w:val="00AB60EF"/>
    <w:rsid w:val="00AB6F5D"/>
    <w:rsid w:val="00AC27BD"/>
    <w:rsid w:val="00AC47F2"/>
    <w:rsid w:val="00AC6589"/>
    <w:rsid w:val="00AD51E8"/>
    <w:rsid w:val="00AD57A7"/>
    <w:rsid w:val="00AD5A48"/>
    <w:rsid w:val="00AD7A8F"/>
    <w:rsid w:val="00AE0D47"/>
    <w:rsid w:val="00AE5F0C"/>
    <w:rsid w:val="00AE7549"/>
    <w:rsid w:val="00AE7C31"/>
    <w:rsid w:val="00AF0DE4"/>
    <w:rsid w:val="00AF1EBD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23FC"/>
    <w:rsid w:val="00B252F5"/>
    <w:rsid w:val="00B27408"/>
    <w:rsid w:val="00B40C36"/>
    <w:rsid w:val="00B46252"/>
    <w:rsid w:val="00B50108"/>
    <w:rsid w:val="00B50765"/>
    <w:rsid w:val="00B50A09"/>
    <w:rsid w:val="00B52019"/>
    <w:rsid w:val="00B52D09"/>
    <w:rsid w:val="00B5486B"/>
    <w:rsid w:val="00B54E1C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18A0"/>
    <w:rsid w:val="00BD22FB"/>
    <w:rsid w:val="00BD2ADF"/>
    <w:rsid w:val="00BD410E"/>
    <w:rsid w:val="00BD6028"/>
    <w:rsid w:val="00BD62A2"/>
    <w:rsid w:val="00BD672F"/>
    <w:rsid w:val="00BE0044"/>
    <w:rsid w:val="00BE17A1"/>
    <w:rsid w:val="00BE2AA9"/>
    <w:rsid w:val="00BF0D30"/>
    <w:rsid w:val="00BF5332"/>
    <w:rsid w:val="00BF6774"/>
    <w:rsid w:val="00BF7435"/>
    <w:rsid w:val="00BF79F5"/>
    <w:rsid w:val="00C034CF"/>
    <w:rsid w:val="00C055D3"/>
    <w:rsid w:val="00C05F8C"/>
    <w:rsid w:val="00C063BA"/>
    <w:rsid w:val="00C06B94"/>
    <w:rsid w:val="00C07132"/>
    <w:rsid w:val="00C150B4"/>
    <w:rsid w:val="00C16602"/>
    <w:rsid w:val="00C177FB"/>
    <w:rsid w:val="00C17EF0"/>
    <w:rsid w:val="00C217B3"/>
    <w:rsid w:val="00C23307"/>
    <w:rsid w:val="00C256EC"/>
    <w:rsid w:val="00C25EAD"/>
    <w:rsid w:val="00C2627A"/>
    <w:rsid w:val="00C276EC"/>
    <w:rsid w:val="00C30C60"/>
    <w:rsid w:val="00C30D0B"/>
    <w:rsid w:val="00C310E9"/>
    <w:rsid w:val="00C35DAA"/>
    <w:rsid w:val="00C36E70"/>
    <w:rsid w:val="00C36F5B"/>
    <w:rsid w:val="00C41941"/>
    <w:rsid w:val="00C4440C"/>
    <w:rsid w:val="00C4753D"/>
    <w:rsid w:val="00C47906"/>
    <w:rsid w:val="00C51807"/>
    <w:rsid w:val="00C53359"/>
    <w:rsid w:val="00C53A9B"/>
    <w:rsid w:val="00C54B73"/>
    <w:rsid w:val="00C576A3"/>
    <w:rsid w:val="00C639AE"/>
    <w:rsid w:val="00C65BAA"/>
    <w:rsid w:val="00C72DAE"/>
    <w:rsid w:val="00C74C31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F00"/>
    <w:rsid w:val="00C938F6"/>
    <w:rsid w:val="00C93C17"/>
    <w:rsid w:val="00C9487A"/>
    <w:rsid w:val="00C95757"/>
    <w:rsid w:val="00C97042"/>
    <w:rsid w:val="00C97E2A"/>
    <w:rsid w:val="00CA4501"/>
    <w:rsid w:val="00CA6704"/>
    <w:rsid w:val="00CA6E13"/>
    <w:rsid w:val="00CA7AB8"/>
    <w:rsid w:val="00CB5690"/>
    <w:rsid w:val="00CC02A1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2C67"/>
    <w:rsid w:val="00CE42EE"/>
    <w:rsid w:val="00CF2DCF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82583"/>
    <w:rsid w:val="00D830A9"/>
    <w:rsid w:val="00D8381E"/>
    <w:rsid w:val="00D8551B"/>
    <w:rsid w:val="00D868FF"/>
    <w:rsid w:val="00D96C20"/>
    <w:rsid w:val="00DA2F1A"/>
    <w:rsid w:val="00DA4386"/>
    <w:rsid w:val="00DA7897"/>
    <w:rsid w:val="00DB0531"/>
    <w:rsid w:val="00DB0616"/>
    <w:rsid w:val="00DB1AE2"/>
    <w:rsid w:val="00DB3224"/>
    <w:rsid w:val="00DB3EC3"/>
    <w:rsid w:val="00DB460A"/>
    <w:rsid w:val="00DB6444"/>
    <w:rsid w:val="00DB7A6A"/>
    <w:rsid w:val="00DC004D"/>
    <w:rsid w:val="00DC033C"/>
    <w:rsid w:val="00DC03C4"/>
    <w:rsid w:val="00DC3EBD"/>
    <w:rsid w:val="00DC60C4"/>
    <w:rsid w:val="00DC6762"/>
    <w:rsid w:val="00DD4889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12C6"/>
    <w:rsid w:val="00E029F4"/>
    <w:rsid w:val="00E0350D"/>
    <w:rsid w:val="00E05E13"/>
    <w:rsid w:val="00E05F1C"/>
    <w:rsid w:val="00E06EA8"/>
    <w:rsid w:val="00E10811"/>
    <w:rsid w:val="00E109F7"/>
    <w:rsid w:val="00E1451D"/>
    <w:rsid w:val="00E1488A"/>
    <w:rsid w:val="00E14B97"/>
    <w:rsid w:val="00E177DE"/>
    <w:rsid w:val="00E21F8C"/>
    <w:rsid w:val="00E256E4"/>
    <w:rsid w:val="00E267C1"/>
    <w:rsid w:val="00E272BB"/>
    <w:rsid w:val="00E2772A"/>
    <w:rsid w:val="00E313DE"/>
    <w:rsid w:val="00E40198"/>
    <w:rsid w:val="00E4084C"/>
    <w:rsid w:val="00E4162F"/>
    <w:rsid w:val="00E44D51"/>
    <w:rsid w:val="00E45A40"/>
    <w:rsid w:val="00E464CC"/>
    <w:rsid w:val="00E474AC"/>
    <w:rsid w:val="00E47B99"/>
    <w:rsid w:val="00E47EE8"/>
    <w:rsid w:val="00E53B54"/>
    <w:rsid w:val="00E53D88"/>
    <w:rsid w:val="00E563E3"/>
    <w:rsid w:val="00E60E73"/>
    <w:rsid w:val="00E648AB"/>
    <w:rsid w:val="00E7079D"/>
    <w:rsid w:val="00E73A04"/>
    <w:rsid w:val="00E77056"/>
    <w:rsid w:val="00E83A58"/>
    <w:rsid w:val="00E8434D"/>
    <w:rsid w:val="00E84A94"/>
    <w:rsid w:val="00E8594C"/>
    <w:rsid w:val="00E86A43"/>
    <w:rsid w:val="00E913A7"/>
    <w:rsid w:val="00E91562"/>
    <w:rsid w:val="00E91BB2"/>
    <w:rsid w:val="00E94292"/>
    <w:rsid w:val="00E946B2"/>
    <w:rsid w:val="00E94AA9"/>
    <w:rsid w:val="00E95681"/>
    <w:rsid w:val="00E95E1F"/>
    <w:rsid w:val="00E96A8A"/>
    <w:rsid w:val="00E96D73"/>
    <w:rsid w:val="00EA135E"/>
    <w:rsid w:val="00EA5FB0"/>
    <w:rsid w:val="00EA7D2A"/>
    <w:rsid w:val="00EB0403"/>
    <w:rsid w:val="00EB6C9A"/>
    <w:rsid w:val="00EB7924"/>
    <w:rsid w:val="00EC0308"/>
    <w:rsid w:val="00EC1B1E"/>
    <w:rsid w:val="00EC5A62"/>
    <w:rsid w:val="00ED0274"/>
    <w:rsid w:val="00ED3A86"/>
    <w:rsid w:val="00ED510B"/>
    <w:rsid w:val="00ED7229"/>
    <w:rsid w:val="00EE389B"/>
    <w:rsid w:val="00EE3DB6"/>
    <w:rsid w:val="00EE5843"/>
    <w:rsid w:val="00EE6260"/>
    <w:rsid w:val="00EE6490"/>
    <w:rsid w:val="00EE6863"/>
    <w:rsid w:val="00EE6D8C"/>
    <w:rsid w:val="00EE748C"/>
    <w:rsid w:val="00EF020A"/>
    <w:rsid w:val="00EF0BEE"/>
    <w:rsid w:val="00EF60EF"/>
    <w:rsid w:val="00EF6514"/>
    <w:rsid w:val="00F011D2"/>
    <w:rsid w:val="00F015A9"/>
    <w:rsid w:val="00F03CE5"/>
    <w:rsid w:val="00F1170C"/>
    <w:rsid w:val="00F16181"/>
    <w:rsid w:val="00F16542"/>
    <w:rsid w:val="00F216AE"/>
    <w:rsid w:val="00F24804"/>
    <w:rsid w:val="00F26FA0"/>
    <w:rsid w:val="00F319C4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7F86"/>
    <w:rsid w:val="00F63266"/>
    <w:rsid w:val="00F65223"/>
    <w:rsid w:val="00F65E74"/>
    <w:rsid w:val="00F66504"/>
    <w:rsid w:val="00F66749"/>
    <w:rsid w:val="00F669E2"/>
    <w:rsid w:val="00F701F8"/>
    <w:rsid w:val="00F71D26"/>
    <w:rsid w:val="00F73ACA"/>
    <w:rsid w:val="00F7459A"/>
    <w:rsid w:val="00F74896"/>
    <w:rsid w:val="00F77246"/>
    <w:rsid w:val="00F804B0"/>
    <w:rsid w:val="00F80BDC"/>
    <w:rsid w:val="00F90EF1"/>
    <w:rsid w:val="00F966B5"/>
    <w:rsid w:val="00FA22BD"/>
    <w:rsid w:val="00FA3A23"/>
    <w:rsid w:val="00FA4570"/>
    <w:rsid w:val="00FA4836"/>
    <w:rsid w:val="00FA77F5"/>
    <w:rsid w:val="00FB0FC0"/>
    <w:rsid w:val="00FB2B79"/>
    <w:rsid w:val="00FB3881"/>
    <w:rsid w:val="00FB686B"/>
    <w:rsid w:val="00FB7764"/>
    <w:rsid w:val="00FB7BE6"/>
    <w:rsid w:val="00FC4E47"/>
    <w:rsid w:val="00FD0B67"/>
    <w:rsid w:val="00FD1886"/>
    <w:rsid w:val="00FD387A"/>
    <w:rsid w:val="00FD4299"/>
    <w:rsid w:val="00FD45C5"/>
    <w:rsid w:val="00FD717F"/>
    <w:rsid w:val="00FE11C6"/>
    <w:rsid w:val="00FE1F9B"/>
    <w:rsid w:val="00FE2F38"/>
    <w:rsid w:val="00FE4BEB"/>
    <w:rsid w:val="00FE697B"/>
    <w:rsid w:val="00FE7CB9"/>
    <w:rsid w:val="00FF1B84"/>
    <w:rsid w:val="00FF3B89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5B7D-2F5B-4A8C-B971-0293249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  <w:style w:type="paragraph" w:styleId="af3">
    <w:name w:val="Revision"/>
    <w:hidden/>
    <w:uiPriority w:val="99"/>
    <w:semiHidden/>
    <w:rsid w:val="005239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825908568570315E-2"/>
          <c:y val="0.15988994809848026"/>
          <c:w val="0.8944855735673688"/>
          <c:h val="0.6268969584864264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55084035157473E-2"/>
                  <c:y val="1.6160665722672055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93,3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4.0222373295828479E-2"/>
                  <c:y val="4.8647922944344758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94,8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3990491754563E-2"/>
                      <c:h val="7.843579216196831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2.7403211743207534E-2"/>
                  <c:y val="4.728586280256198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3.7985862183009901E-2"/>
                  <c:y val="4.887420622990473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3.1492722298130216E-2"/>
                  <c:y val="4.240034699830391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731378136495E-2"/>
                      <c:h val="0.1233280625698529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4.6875782975155336E-2"/>
                  <c:y val="4.78139336342793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18390520443E-2"/>
                      <c:h val="0.11510842549519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5861848940498903E-2"/>
                  <c:y val="-4.14796081122328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2.6843144394816658E-2"/>
                  <c:y val="-3.669874259014038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100,5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1311072062110257E-2"/>
                  <c:y val="-4.81502053995300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292457715165748E-2"/>
                      <c:h val="0.1255959443425736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4.0450960282489241E-2"/>
                  <c:y val="-4.201938325182392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45970621937003E-2"/>
                      <c:h val="0.138138831451081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5719401748519239E-2"/>
                  <c:y val="-4.471091507032912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777820464423276E-2"/>
                      <c:h val="0.1377794403504866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93.3</c:v>
                </c:pt>
                <c:pt idx="1">
                  <c:v>94.8</c:v>
                </c:pt>
                <c:pt idx="2">
                  <c:v>96</c:v>
                </c:pt>
                <c:pt idx="3">
                  <c:v>96.8</c:v>
                </c:pt>
                <c:pt idx="4">
                  <c:v>98.5</c:v>
                </c:pt>
                <c:pt idx="5">
                  <c:v>99.4</c:v>
                </c:pt>
                <c:pt idx="6">
                  <c:v>100.7</c:v>
                </c:pt>
                <c:pt idx="7">
                  <c:v>100.5</c:v>
                </c:pt>
                <c:pt idx="8">
                  <c:v>100.7</c:v>
                </c:pt>
                <c:pt idx="9">
                  <c:v>101.2</c:v>
                </c:pt>
                <c:pt idx="10">
                  <c:v>101.6</c:v>
                </c:pt>
                <c:pt idx="11">
                  <c:v>101.6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2024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4.2820514533689381E-2"/>
                  <c:y val="-4.7514441050450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5.1934094788851436E-2"/>
                  <c:y val="-2.86753247945435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3.5317195257713679E-2"/>
                  <c:y val="-2.9146021568055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F8C-47E1-B82F-991DE52AF86E}"/>
                </c:ext>
              </c:extLst>
            </c:dLbl>
            <c:dLbl>
              <c:idx val="14"/>
              <c:layout>
                <c:manualLayout>
                  <c:x val="-3.5087719298245612E-2"/>
                  <c:y val="-4.66336345088895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852-484B-8E4B-1E0DC900AFA7}"/>
                </c:ext>
              </c:extLst>
            </c:dLbl>
            <c:dLbl>
              <c:idx val="15"/>
              <c:layout>
                <c:manualLayout>
                  <c:x val="-6.1919504643962852E-3"/>
                  <c:y val="-4.08044301952783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4B3-4C65-83C1-BE92566F9E44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11">
                  <c:v>101.6</c:v>
                </c:pt>
                <c:pt idx="12">
                  <c:v>104.1</c:v>
                </c:pt>
                <c:pt idx="13">
                  <c:v>105.4</c:v>
                </c:pt>
                <c:pt idx="14">
                  <c:v>105.4</c:v>
                </c:pt>
                <c:pt idx="15">
                  <c:v>106.2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445568"/>
        <c:axId val="118447104"/>
      </c:lineChart>
      <c:catAx>
        <c:axId val="11844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7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47104"/>
        <c:scaling>
          <c:orientation val="minMax"/>
          <c:max val="108"/>
          <c:min val="92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5568"/>
        <c:crosses val="autoZero"/>
        <c:crossBetween val="midCat"/>
        <c:majorUnit val="4"/>
        <c:minorUnit val="4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98C-4E37-8F5A-F8CC8611157D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0.00</c:formatCode>
                <c:ptCount val="1"/>
                <c:pt idx="0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8C-4E37-8F5A-F8CC861115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деятельность, складирование, почтовая и курьерская деятельность 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8C-4E37-8F5A-F8CC861115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098C-4E37-8F5A-F8CC8611157D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0,4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8C-4E37-8F5A-F8CC8611157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98C-4E37-8F5A-F8CC8611157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1.1000000000000001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98C-4E37-8F5A-F8CC8611157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98C-4E37-8F5A-F8CC8611157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2.9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098C-4E37-8F5A-F8CC861115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9046528"/>
        <c:axId val="119048064"/>
      </c:barChart>
      <c:dateAx>
        <c:axId val="119046528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048064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19048064"/>
        <c:scaling>
          <c:orientation val="minMax"/>
          <c:max val="3"/>
          <c:min val="-0.5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046528"/>
        <c:crosses val="autoZero"/>
        <c:crossBetween val="between"/>
        <c:majorUnit val="0.5"/>
        <c:minorUnit val="0.5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0853961684921634"/>
          <c:y val="3.7066378009281503E-2"/>
          <c:w val="0.38523807490001261"/>
          <c:h val="0.85757210645046977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59974695857463E-2"/>
          <c:y val="2.4339271573064813E-2"/>
          <c:w val="0.86514944148295847"/>
          <c:h val="0.6658888709357703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3448589542327687E-2"/>
                  <c:y val="-4.4887973643893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31A-4F80-84C3-7036DD5F5113}"/>
                </c:ext>
              </c:extLst>
            </c:dLbl>
            <c:dLbl>
              <c:idx val="1"/>
              <c:layout>
                <c:manualLayout>
                  <c:x val="-3.234126830387099E-2"/>
                  <c:y val="-3.99589245912277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96,2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31A-4F80-84C3-7036DD5F5113}"/>
                </c:ext>
              </c:extLst>
            </c:dLbl>
            <c:dLbl>
              <c:idx val="2"/>
              <c:layout>
                <c:manualLayout>
                  <c:x val="-4.5380582593481662E-2"/>
                  <c:y val="-3.813763211698748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26641788848E-2"/>
                      <c:h val="5.72817592368970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631A-4F80-84C3-7036DD5F5113}"/>
                </c:ext>
              </c:extLst>
            </c:dLbl>
            <c:dLbl>
              <c:idx val="3"/>
              <c:layout>
                <c:manualLayout>
                  <c:x val="-3.6323992270106173E-2"/>
                  <c:y val="-2.140935848249593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31A-4F80-84C3-7036DD5F5113}"/>
                </c:ext>
              </c:extLst>
            </c:dLbl>
            <c:dLbl>
              <c:idx val="4"/>
              <c:layout>
                <c:manualLayout>
                  <c:x val="-3.643293604241217E-2"/>
                  <c:y val="-2.660724701079035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631A-4F80-84C3-7036DD5F5113}"/>
                </c:ext>
              </c:extLst>
            </c:dLbl>
            <c:dLbl>
              <c:idx val="5"/>
              <c:layout>
                <c:manualLayout>
                  <c:x val="-3.1489089350939969E-2"/>
                  <c:y val="-4.69524369627058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31A-4F80-84C3-7036DD5F5113}"/>
                </c:ext>
              </c:extLst>
            </c:dLbl>
            <c:dLbl>
              <c:idx val="6"/>
              <c:layout>
                <c:manualLayout>
                  <c:x val="-3.0350681169774071E-2"/>
                  <c:y val="-4.72068537674888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31A-4F80-84C3-7036DD5F5113}"/>
                </c:ext>
              </c:extLst>
            </c:dLbl>
            <c:dLbl>
              <c:idx val="7"/>
              <c:layout>
                <c:manualLayout>
                  <c:x val="-3.0611030440718626E-2"/>
                  <c:y val="-3.838412144162148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31A-4F80-84C3-7036DD5F5113}"/>
                </c:ext>
              </c:extLst>
            </c:dLbl>
            <c:dLbl>
              <c:idx val="8"/>
              <c:layout>
                <c:manualLayout>
                  <c:x val="-3.9018762194186533E-2"/>
                  <c:y val="-2.90182997958588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631A-4F80-84C3-7036DD5F5113}"/>
                </c:ext>
              </c:extLst>
            </c:dLbl>
            <c:dLbl>
              <c:idx val="9"/>
              <c:layout>
                <c:manualLayout>
                  <c:x val="-4.6775078375978441E-2"/>
                  <c:y val="-4.501444460627160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631A-4F80-84C3-7036DD5F5113}"/>
                </c:ext>
              </c:extLst>
            </c:dLbl>
            <c:dLbl>
              <c:idx val="10"/>
              <c:layout>
                <c:manualLayout>
                  <c:x val="-4.3441755373965454E-2"/>
                  <c:y val="-4.08411708953047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631A-4F80-84C3-7036DD5F5113}"/>
                </c:ext>
              </c:extLst>
            </c:dLbl>
            <c:dLbl>
              <c:idx val="11"/>
              <c:layout>
                <c:manualLayout>
                  <c:x val="-3.7503622419171621E-2"/>
                  <c:y val="-4.074584426946636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31A-4F80-84C3-7036DD5F5113}"/>
                </c:ext>
              </c:extLst>
            </c:dLbl>
            <c:dLbl>
              <c:idx val="12"/>
              <c:layout>
                <c:manualLayout>
                  <c:x val="-3.4798934427626924E-2"/>
                  <c:y val="-3.97507821473147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105,9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955334530551E-2"/>
                      <c:h val="5.84758675998833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31A-4F80-84C3-7036DD5F5113}"/>
                </c:ext>
              </c:extLst>
            </c:dLbl>
            <c:dLbl>
              <c:idx val="13"/>
              <c:layout>
                <c:manualLayout>
                  <c:x val="-3.8533009343129636E-2"/>
                  <c:y val="-5.1014993999081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631A-4F80-84C3-7036DD5F5113}"/>
                </c:ext>
              </c:extLst>
            </c:dLbl>
            <c:dLbl>
              <c:idx val="14"/>
              <c:layout>
                <c:manualLayout>
                  <c:x val="-2.6607230581121268E-2"/>
                  <c:y val="-5.17679202532369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631A-4F80-84C3-7036DD5F5113}"/>
                </c:ext>
              </c:extLst>
            </c:dLbl>
            <c:dLbl>
              <c:idx val="15"/>
              <c:layout>
                <c:manualLayout>
                  <c:x val="-2.7668723427115613E-2"/>
                  <c:y val="3.22398084077874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31A-4F80-84C3-7036DD5F5113}"/>
                </c:ext>
              </c:extLst>
            </c:dLbl>
            <c:dLbl>
              <c:idx val="16"/>
              <c:layout>
                <c:manualLayout>
                  <c:x val="-6.1448936674688939E-2"/>
                  <c:y val="-2.5878613686518025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915901137357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631A-4F80-84C3-7036DD5F5113}"/>
                </c:ext>
              </c:extLst>
            </c:dLbl>
            <c:dLbl>
              <c:idx val="17"/>
              <c:layout>
                <c:manualLayout>
                  <c:x val="-5.5744110760018409E-2"/>
                  <c:y val="-3.7180066258985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631A-4F80-84C3-7036DD5F5113}"/>
                </c:ext>
              </c:extLst>
            </c:dLbl>
            <c:dLbl>
              <c:idx val="18"/>
              <c:layout>
                <c:manualLayout>
                  <c:x val="-5.373144042883244E-2"/>
                  <c:y val="-2.76578720799679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489723872235267E-2"/>
                      <c:h val="6.0870337916224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631A-4F80-84C3-7036DD5F5113}"/>
                </c:ext>
              </c:extLst>
            </c:dLbl>
            <c:dLbl>
              <c:idx val="19"/>
              <c:layout>
                <c:manualLayout>
                  <c:x val="-4.3637327266782065E-2"/>
                  <c:y val="-3.28344634004082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631A-4F80-84C3-7036DD5F5113}"/>
                </c:ext>
              </c:extLst>
            </c:dLbl>
            <c:dLbl>
              <c:idx val="20"/>
              <c:layout>
                <c:manualLayout>
                  <c:x val="-4.3298563274945877E-2"/>
                  <c:y val="-2.7560898718144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102,4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50124053335E-2"/>
                      <c:h val="6.43095625690197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631A-4F80-84C3-7036DD5F5113}"/>
                </c:ext>
              </c:extLst>
            </c:dLbl>
            <c:dLbl>
              <c:idx val="21"/>
              <c:layout>
                <c:manualLayout>
                  <c:x val="-4.8111615451729373E-2"/>
                  <c:y val="-3.74726455844857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96763300670864E-2"/>
                      <c:h val="5.566086608642428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631A-4F80-84C3-7036DD5F5113}"/>
                </c:ext>
              </c:extLst>
            </c:dLbl>
            <c:dLbl>
              <c:idx val="22"/>
              <c:layout>
                <c:manualLayout>
                  <c:x val="-4.8858259968045228E-2"/>
                  <c:y val="-4.5693626859040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829457188977978E-2"/>
                      <c:h val="5.86851543070549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631A-4F80-84C3-7036DD5F5113}"/>
                </c:ext>
              </c:extLst>
            </c:dLbl>
            <c:dLbl>
              <c:idx val="23"/>
              <c:layout>
                <c:manualLayout>
                  <c:x val="-2.9521747687463098E-2"/>
                  <c:y val="-3.2779208616249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1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94.7</c:v>
                </c:pt>
                <c:pt idx="1">
                  <c:v>96.2</c:v>
                </c:pt>
                <c:pt idx="2">
                  <c:v>97.5</c:v>
                </c:pt>
                <c:pt idx="3">
                  <c:v>98.4</c:v>
                </c:pt>
                <c:pt idx="4">
                  <c:v>100.2</c:v>
                </c:pt>
                <c:pt idx="5">
                  <c:v>101.1</c:v>
                </c:pt>
                <c:pt idx="6">
                  <c:v>102.4</c:v>
                </c:pt>
                <c:pt idx="7">
                  <c:v>102.2</c:v>
                </c:pt>
                <c:pt idx="8">
                  <c:v>102.4</c:v>
                </c:pt>
                <c:pt idx="9">
                  <c:v>103</c:v>
                </c:pt>
                <c:pt idx="10">
                  <c:v>103.4</c:v>
                </c:pt>
                <c:pt idx="11">
                  <c:v>103.4</c:v>
                </c:pt>
                <c:pt idx="12">
                  <c:v>105.9</c:v>
                </c:pt>
                <c:pt idx="13">
                  <c:v>107.1</c:v>
                </c:pt>
                <c:pt idx="14">
                  <c:v>107.1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631A-4F80-84C3-7036DD5F511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10576069252915E-2"/>
                  <c:y val="-2.4789414786040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631A-4F80-84C3-7036DD5F5113}"/>
                </c:ext>
              </c:extLst>
            </c:dLbl>
            <c:dLbl>
              <c:idx val="1"/>
              <c:layout>
                <c:manualLayout>
                  <c:x val="-3.9461251554082075E-2"/>
                  <c:y val="-4.00651975833251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103,5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631A-4F80-84C3-7036DD5F5113}"/>
                </c:ext>
              </c:extLst>
            </c:dLbl>
            <c:dLbl>
              <c:idx val="2"/>
              <c:layout>
                <c:manualLayout>
                  <c:x val="-3.6318258387353225E-2"/>
                  <c:y val="-3.04588536126264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105,9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173744395905E-2"/>
                      <c:h val="6.383723224013997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631A-4F80-84C3-7036DD5F5113}"/>
                </c:ext>
              </c:extLst>
            </c:dLbl>
            <c:dLbl>
              <c:idx val="3"/>
              <c:layout>
                <c:manualLayout>
                  <c:x val="-3.3040647029926221E-2"/>
                  <c:y val="-4.160104986876644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107,5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31A-4F80-84C3-7036DD5F5113}"/>
                </c:ext>
              </c:extLst>
            </c:dLbl>
            <c:dLbl>
              <c:idx val="4"/>
              <c:layout>
                <c:manualLayout>
                  <c:x val="-4.8279447749606061E-2"/>
                  <c:y val="-2.873840606028205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109,3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631A-4F80-84C3-7036DD5F5113}"/>
                </c:ext>
              </c:extLst>
            </c:dLbl>
            <c:dLbl>
              <c:idx val="5"/>
              <c:layout>
                <c:manualLayout>
                  <c:x val="-4.0788362387588775E-2"/>
                  <c:y val="-3.4747620373255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631A-4F80-84C3-7036DD5F511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111,6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631A-4F80-84C3-7036DD5F5113}"/>
                </c:ext>
              </c:extLst>
            </c:dLbl>
            <c:dLbl>
              <c:idx val="7"/>
              <c:layout>
                <c:manualLayout>
                  <c:x val="-3.315160540968607E-2"/>
                  <c:y val="-3.95393212233392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31A-4F80-84C3-7036DD5F5113}"/>
                </c:ext>
              </c:extLst>
            </c:dLbl>
            <c:dLbl>
              <c:idx val="8"/>
              <c:layout>
                <c:manualLayout>
                  <c:x val="-3.5500017821527473E-2"/>
                  <c:y val="-4.421247859119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631A-4F80-84C3-7036DD5F5113}"/>
                </c:ext>
              </c:extLst>
            </c:dLbl>
            <c:dLbl>
              <c:idx val="9"/>
              <c:layout>
                <c:manualLayout>
                  <c:x val="-3.5994216526909734E-2"/>
                  <c:y val="-3.715775869856586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631A-4F80-84C3-7036DD5F5113}"/>
                </c:ext>
              </c:extLst>
            </c:dLbl>
            <c:dLbl>
              <c:idx val="10"/>
              <c:layout>
                <c:manualLayout>
                  <c:x val="-3.6872197952229006E-2"/>
                  <c:y val="-3.34438264287439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631A-4F80-84C3-7036DD5F5113}"/>
                </c:ext>
              </c:extLst>
            </c:dLbl>
            <c:dLbl>
              <c:idx val="11"/>
              <c:layout>
                <c:manualLayout>
                  <c:x val="-3.2973390134932209E-2"/>
                  <c:y val="-3.315493430331276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631A-4F80-84C3-7036DD5F5113}"/>
                </c:ext>
              </c:extLst>
            </c:dLbl>
            <c:dLbl>
              <c:idx val="12"/>
              <c:layout>
                <c:manualLayout>
                  <c:x val="-3.4181069818545858E-2"/>
                  <c:y val="-3.8273505439541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631A-4F80-84C3-7036DD5F5113}"/>
                </c:ext>
              </c:extLst>
            </c:dLbl>
            <c:dLbl>
              <c:idx val="13"/>
              <c:layout>
                <c:manualLayout>
                  <c:x val="-5.1641052740873439E-2"/>
                  <c:y val="-3.9305368378940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631A-4F80-84C3-7036DD5F5113}"/>
                </c:ext>
              </c:extLst>
            </c:dLbl>
            <c:dLbl>
              <c:idx val="14"/>
              <c:layout>
                <c:manualLayout>
                  <c:x val="-2.8564886631839786E-2"/>
                  <c:y val="-4.141536861860893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09560397156607E-2"/>
                      <c:h val="6.33730137514126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631A-4F80-84C3-7036DD5F5113}"/>
                </c:ext>
              </c:extLst>
            </c:dLbl>
            <c:dLbl>
              <c:idx val="15"/>
              <c:layout>
                <c:manualLayout>
                  <c:x val="-5.7327746312412706E-2"/>
                  <c:y val="-3.776501895596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17371010246E-2"/>
                      <c:h val="6.98973367765648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631A-4F80-84C3-7036DD5F5113}"/>
                </c:ext>
              </c:extLst>
            </c:dLbl>
            <c:dLbl>
              <c:idx val="16"/>
              <c:layout>
                <c:manualLayout>
                  <c:x val="-4.6752313855504907E-2"/>
                  <c:y val="-2.7459004928459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966155546346179E-2"/>
                      <c:h val="8.35918322626048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631A-4F80-84C3-7036DD5F5113}"/>
                </c:ext>
              </c:extLst>
            </c:dLbl>
            <c:dLbl>
              <c:idx val="17"/>
              <c:layout>
                <c:manualLayout>
                  <c:x val="-4.9438151371429588E-2"/>
                  <c:y val="-2.41257538732423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631A-4F80-84C3-7036DD5F5113}"/>
                </c:ext>
              </c:extLst>
            </c:dLbl>
            <c:dLbl>
              <c:idx val="18"/>
              <c:layout>
                <c:manualLayout>
                  <c:x val="-6.0799923134977146E-2"/>
                  <c:y val="-2.9445538057742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70358091194E-2"/>
                      <c:h val="5.38571741032370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631A-4F80-84C3-7036DD5F5113}"/>
                </c:ext>
              </c:extLst>
            </c:dLbl>
            <c:dLbl>
              <c:idx val="19"/>
              <c:layout>
                <c:manualLayout>
                  <c:x val="-5.4051375589466391E-2"/>
                  <c:y val="-2.82199620880723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629660327546767E-2"/>
                      <c:h val="8.188356663750365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631A-4F80-84C3-7036DD5F5113}"/>
                </c:ext>
              </c:extLst>
            </c:dLbl>
            <c:dLbl>
              <c:idx val="20"/>
              <c:layout>
                <c:manualLayout>
                  <c:x val="-5.3948243184815586E-2"/>
                  <c:y val="-2.440707932341790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112,7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2362204724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631A-4F80-84C3-7036DD5F5113}"/>
                </c:ext>
              </c:extLst>
            </c:dLbl>
            <c:dLbl>
              <c:idx val="21"/>
              <c:layout>
                <c:manualLayout>
                  <c:x val="-5.967546223618328E-2"/>
                  <c:y val="-1.935835344393704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008025886156078E-2"/>
                      <c:h val="9.97054534849810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631A-4F80-84C3-7036DD5F5113}"/>
                </c:ext>
              </c:extLst>
            </c:dLbl>
            <c:dLbl>
              <c:idx val="22"/>
              <c:layout>
                <c:manualLayout>
                  <c:x val="-4.0082629899564071E-2"/>
                  <c:y val="-2.6664540381293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68230105363971E-2"/>
                      <c:h val="8.43354476523767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631A-4F80-84C3-7036DD5F5113}"/>
                </c:ext>
              </c:extLst>
            </c:dLbl>
            <c:dLbl>
              <c:idx val="23"/>
              <c:layout>
                <c:manualLayout>
                  <c:x val="-2.7553631174965704E-2"/>
                  <c:y val="-3.2779208616249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171029324936036E-2"/>
                      <c:h val="6.1765394521189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0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General</c:formatCode>
                <c:ptCount val="15"/>
                <c:pt idx="0">
                  <c:v>104.6</c:v>
                </c:pt>
                <c:pt idx="1">
                  <c:v>103.5</c:v>
                </c:pt>
                <c:pt idx="2">
                  <c:v>105.9</c:v>
                </c:pt>
                <c:pt idx="3">
                  <c:v>107.5</c:v>
                </c:pt>
                <c:pt idx="4">
                  <c:v>109.3</c:v>
                </c:pt>
                <c:pt idx="5">
                  <c:v>110.7</c:v>
                </c:pt>
                <c:pt idx="6">
                  <c:v>111.6</c:v>
                </c:pt>
                <c:pt idx="7">
                  <c:v>112.1</c:v>
                </c:pt>
                <c:pt idx="8">
                  <c:v>112.7</c:v>
                </c:pt>
                <c:pt idx="9">
                  <c:v>113.3</c:v>
                </c:pt>
                <c:pt idx="10">
                  <c:v>113.3</c:v>
                </c:pt>
                <c:pt idx="11">
                  <c:v>113.4</c:v>
                </c:pt>
                <c:pt idx="12">
                  <c:v>113.6</c:v>
                </c:pt>
                <c:pt idx="13">
                  <c:v>114.4</c:v>
                </c:pt>
                <c:pt idx="14">
                  <c:v>114.2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631A-4F80-84C3-7036DD5F5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96512"/>
        <c:axId val="130102400"/>
      </c:lineChart>
      <c:catAx>
        <c:axId val="130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0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02400"/>
        <c:scaling>
          <c:orientation val="minMax"/>
          <c:max val="116"/>
          <c:min val="92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096512"/>
        <c:crosses val="autoZero"/>
        <c:crossBetween val="midCat"/>
        <c:majorUnit val="8"/>
        <c:minorUnit val="8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0.25444</cdr:x>
      <cdr:y>0.56238</cdr:y>
    </cdr:from>
    <cdr:to>
      <cdr:x>0.46809</cdr:x>
      <cdr:y>0.6806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685815" y="1449859"/>
          <a:ext cx="1415557" cy="3048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106,2%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0.21549</cdr:x>
      <cdr:y>0.79167</cdr:y>
    </cdr:from>
    <cdr:to>
      <cdr:x>0.98602</cdr:x>
      <cdr:y>0.86458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03939" y="2171700"/>
          <a:ext cx="5020080" cy="2000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3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4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D5EC2-F46B-49DA-A8FB-CAF91D87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408</cp:revision>
  <cp:lastPrinted>2024-05-22T07:52:00Z</cp:lastPrinted>
  <dcterms:created xsi:type="dcterms:W3CDTF">2020-06-17T05:48:00Z</dcterms:created>
  <dcterms:modified xsi:type="dcterms:W3CDTF">2024-05-23T11:10:00Z</dcterms:modified>
</cp:coreProperties>
</file>